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Reciprocity Before Collapse: Symbiosis, Power, and the Tempo of Stability</w:t>
      </w:r>
    </w:p>
    <w:p>
      <w:r>
        <w:t>Continuation of “Doing Unto Others: Technology Beyond Technocracy,” in response to “Voyage to the End of the World”</w:t>
      </w:r>
    </w:p>
    <w:p>
      <w:pPr>
        <w:pStyle w:val="Heading2"/>
      </w:pPr>
      <w:r>
        <w:t>I. The Quiet Threshold</w:t>
      </w:r>
    </w:p>
    <w:p>
      <w:r>
        <w:t>Every durable order rests on a hidden proportion. Not equality of wealth or unanimity of belief, but a subtler balance: the pace at which power expands must remain commensurate with the pace at which persons and institutions can understand, absorb, and reciprocally influence that power. When this proportion holds, societies feel governable even amid rapid change. When it fails, they feel—often before they can explain why—unsteady.</w:t>
      </w:r>
    </w:p>
    <w:p>
      <w:r>
        <w:t>Our earlier reflections traced this proportion through the language of reciprocity. A technological order remains symbiotic when those shaped by its powers retain standing within them: the ability to perceive, contest, and participate. Technocracy begins where this standing quietly erodes. The shift is rarely announced. It emerges instead from tempo mismatch. Capability compounds; adaptation saturates. A gap widens between what systems can do and what communities can assimilate.</w:t>
      </w:r>
    </w:p>
    <w:p>
      <w:r>
        <w:t>“Voyage to the End of the World” describes a civilizational horizon in which technological ambition threatens to outrun moral comprehension. That essay rightly senses a terminal asymmetry: power expanding beyond the human scale that once anchored meaning and responsibility. Yet the horizon it evokes need not be approached only as destiny or decline. It may also be understood structurally—as the point at which capability outruns reciprocal bandwidth. What appears as metaphysical exhaustion may, in part, be a systems condition: feedback delayed beyond viability.</w:t>
      </w:r>
    </w:p>
    <w:p>
      <w:pPr>
        <w:pStyle w:val="Heading2"/>
      </w:pPr>
      <w:r>
        <w:t>II. The Pattern Across Time</w:t>
      </w:r>
    </w:p>
    <w:p>
      <w:r>
        <w:t>This condition is not new. Periods in which capability outruns institutional adaptation recur across history. Their outward forms differ, yet their internal structure remains constant.</w:t>
      </w:r>
    </w:p>
    <w:p>
      <w:r>
        <w:t>The early industrial revolution confronted guild orders with mechanized production. Late Roman administration, stretched across distance and complexity, ceded ground to localized coercive authority. Early modern monarchies consolidated power faster than feudal reciprocity could adjust. In each case, institutions built for one tempo faced a world moving at another.</w:t>
      </w:r>
    </w:p>
    <w:p>
      <w:r>
        <w:t>Our own moment presents analogous tensions in contemporary dress: digital currencies navigating around banking chokepoints; artificial intelligence challenging professional gatekeeping; global platforms outrunning national regulators; private arbitration expanding where courts slow; alternative media bypassing legacy gatekeepers. Across each pair lies the same structure: new capability channels forming where institutional impedance is lowest.</w:t>
      </w:r>
    </w:p>
    <w:p>
      <w:r>
        <w:t>Organizations such as the OECD increasingly observe fragments of this pattern. Their analyses note regulatory strain under accelerating technological change and the difficulty of aligning governance cycles with innovation tempo. Such observations, while framed administratively, point toward the deeper proportion at issue: adaptation bandwidth lagging capability infusion. Institutional awareness of the strain confirms its systemic nature; it is not merely ideological anxiety or partisan grievance.</w:t>
      </w:r>
    </w:p>
    <w:p>
      <w:pPr>
        <w:pStyle w:val="Heading2"/>
      </w:pPr>
      <w:r>
        <w:t>III. When Predation Becomes Rational</w:t>
      </w:r>
    </w:p>
    <w:p>
      <w:r>
        <w:t>We may now state the threshold plainly. Stability requires that deployed technological capability enter society no faster than institutions and communities can absorb and legitimize it. When this proportion holds, reciprocity remains credible. Cooperation retains advantage. Power, though unequal, remains mutually intelligible.</w:t>
      </w:r>
    </w:p>
    <w:p>
      <w:r>
        <w:t>When it fails, asymmetry widens. Control concentrates in channels opaque to those affected. Actors seeking leverage discover that coercion, capture, or informational dominance now yields disproportionate returns. What was once aberrant becomes locally rational. Irrational actors—those inclined toward domination or disruption—no longer appear merely pathological; they become catalysts for systemic drift.</w:t>
      </w:r>
    </w:p>
    <w:p>
      <w:r>
        <w:t>The shift is subtle but decisive. Violence or capture need not increase dramatically for the regime to change. It is enough that the environment begins to reward such strategies. At that point, the system’s attractor tilts toward instability.</w:t>
      </w:r>
    </w:p>
    <w:p>
      <w:pPr>
        <w:pStyle w:val="Heading2"/>
      </w:pPr>
      <w:r>
        <w:t>IV. Why Symbiosis Preserves Order</w:t>
      </w:r>
    </w:p>
    <w:p>
      <w:r>
        <w:t>A symbiotic order resists this shift because it preserves rapid reciprocal feedback. Capability remains legible to judgment; authority remains contestable; institutions adapt in tempo with innovation. Enforcement retains credibility. Cooperation continues to outcompete predation not by moral exhortation alone, but by structural alignment.</w:t>
      </w:r>
    </w:p>
    <w:p>
      <w:r>
        <w:t>Research across domains gestures toward this principle. Automation economics emphasizes coupling technological advance with workforce and institutional adaptation. Regulatory bodies advocate anticipatory governance to keep pace with innovation. Trust studies underline responsiveness as the condition of legitimacy. Each describes, in its own idiom, the necessity of maintaining proportional growth between power and participation.</w:t>
      </w:r>
    </w:p>
    <w:p>
      <w:pPr>
        <w:pStyle w:val="Heading2"/>
      </w:pPr>
      <w:r>
        <w:t>V. The Present Strain</w:t>
      </w:r>
    </w:p>
    <w:p>
      <w:r>
        <w:t>Contemporary observers often describe institutional underperformance: uneven enforcement, nonresponsiveness, actors routing around formal channels, parallel governance structures emerging. These are interpreted as failures of will or competence. Yet they bear the signature of tempo mismatch. Institutions adapt generationally; technological capability compounds exponentially. Feedback lags. Legitimacy fragments. Authority appears arbitrary because it no longer operates at the same temporal scale as the forces it seeks to govern.</w:t>
      </w:r>
    </w:p>
    <w:p>
      <w:r>
        <w:t>This condition need not imply terminal decline. History shows similar phases preceding re-equilibration: industrial societies eventually forged labor law and regulatory regimes; early modern states stabilized administrative authority; post-imperial orders reconstituted legitimacy. Yet each transition passed through turbulence precisely because capability briefly outran comprehension.</w:t>
      </w:r>
    </w:p>
    <w:p>
      <w:pPr>
        <w:pStyle w:val="Heading2"/>
      </w:pPr>
      <w:r>
        <w:t>VI. Before the Basin Shifts</w:t>
      </w:r>
    </w:p>
    <w:p>
      <w:r>
        <w:t>Complex orders possess multiple stable regimes. One is symbiotic: capability and participation co-develop, reciprocity constrains power, and cooperation remains advantageous. Another is technocratic or predatory: asymmetry concentrates authority, feedback weakens, and domination strategies proliferate. The transition between them occurs when the capability gap grows beyond reciprocal tolerance.</w:t>
      </w:r>
    </w:p>
    <w:p>
      <w:r>
        <w:t>Preventing that basin shift requires maintaining proportion before collapse dynamics begin. Symbiosis is thus not utopian aspiration but equilibrium condition: the preservation of feedback rapid enough to keep predation structurally unprofitable. Reciprocity, in this light, is not merely ethical ideal but stability requirement.</w:t>
      </w:r>
    </w:p>
    <w:p>
      <w:pPr>
        <w:pStyle w:val="Heading2"/>
      </w:pPr>
      <w:r>
        <w:t>VII. The Measure of Order</w:t>
      </w:r>
    </w:p>
    <w:p>
      <w:r>
        <w:t>“Voyage to the End of the World” fears that technological civilization may reach a terminus where human meaning dissolves under expanding power. Such fears deserve seriousness. Yet the trajectory they anticipate may also be redirected by restoring proportion. Technological ambition need not culminate in technocracy if capability expansion remains reciprocally held—legible, participatory, and bounded by mutual regard.</w:t>
      </w:r>
    </w:p>
    <w:p>
      <w:r>
        <w:t>A society’s stability is therefore measured not only by innovation or wealth, but by the proportion between its expanding powers and its shared understanding of them. Where capability and participation grow together, reciprocity holds and domination remains unprofitable. Where they diverge, instability follows. The task before modern societies is not to renounce power, but to keep it within the circle of reciprocal comprehension that makes common life possible.</w:t>
      </w:r>
    </w:p>
    <w:p>
      <w:r>
        <w:t>For only within that proportion does technological civilization remain symbiotic—before the threshold at which domination becomes rational and collapse begins.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